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全国人民代表大会常务委员会关于取缔</w:t>
      </w:r>
    </w:p>
    <w:p>
      <w:pPr>
        <w:jc w:val="center"/>
        <w:rPr>
          <w:rFonts w:ascii="宋体" w:hAnsi="宋体" w:eastAsia="宋体" w:cs="Arial"/>
          <w:bCs/>
          <w:sz w:val="44"/>
          <w:szCs w:val="44"/>
        </w:rPr>
      </w:pPr>
      <w:r>
        <w:rPr>
          <w:rFonts w:ascii="宋体" w:hAnsi="宋体" w:eastAsia="宋体" w:cs="Arial"/>
          <w:bCs/>
          <w:sz w:val="44"/>
          <w:szCs w:val="44"/>
        </w:rPr>
        <w:t>邪教组织、防范和惩治邪教活动的决定</w:t>
      </w:r>
      <w:bookmarkEnd w:id="0"/>
    </w:p>
    <w:p>
      <w:pPr>
        <w:ind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w:t>
      </w:r>
      <w:r>
        <w:rPr>
          <w:rFonts w:hint="default" w:ascii="Times New Roman" w:hAnsi="Times New Roman" w:eastAsia="楷体_GB2312" w:cs="Times New Roman"/>
          <w:szCs w:val="32"/>
        </w:rPr>
        <w:t>1999</w:t>
      </w:r>
      <w:r>
        <w:rPr>
          <w:rFonts w:hint="eastAsia" w:ascii="楷体_GB2312" w:hAnsi="Arial" w:eastAsia="楷体_GB2312" w:cs="Arial"/>
          <w:szCs w:val="32"/>
        </w:rPr>
        <w:t>年</w:t>
      </w:r>
      <w:r>
        <w:rPr>
          <w:rFonts w:hint="default" w:ascii="Times New Roman" w:hAnsi="Times New Roman" w:eastAsia="楷体_GB2312" w:cs="Times New Roman"/>
          <w:szCs w:val="32"/>
        </w:rPr>
        <w:t>10</w:t>
      </w:r>
      <w:r>
        <w:rPr>
          <w:rFonts w:hint="eastAsia" w:ascii="楷体_GB2312" w:hAnsi="Arial" w:eastAsia="楷体_GB2312" w:cs="Arial"/>
          <w:szCs w:val="32"/>
        </w:rPr>
        <w:t>月</w:t>
      </w:r>
      <w:r>
        <w:rPr>
          <w:rFonts w:hint="default" w:ascii="Times New Roman" w:hAnsi="Times New Roman" w:eastAsia="楷体_GB2312" w:cs="Times New Roman"/>
          <w:szCs w:val="32"/>
        </w:rPr>
        <w:t>30</w:t>
      </w:r>
      <w:r>
        <w:rPr>
          <w:rFonts w:hint="eastAsia" w:ascii="楷体_GB2312" w:hAnsi="Arial" w:eastAsia="楷体_GB2312" w:cs="Arial"/>
          <w:szCs w:val="32"/>
        </w:rPr>
        <w:t>日第九</w:t>
      </w:r>
      <w:bookmarkStart w:id="3" w:name="_GoBack"/>
      <w:bookmarkEnd w:id="3"/>
      <w:r>
        <w:rPr>
          <w:rFonts w:hint="eastAsia" w:ascii="楷体_GB2312" w:hAnsi="Arial" w:eastAsia="楷体_GB2312" w:cs="Arial"/>
          <w:szCs w:val="32"/>
        </w:rPr>
        <w:t>届全国人民代表大会常务委员会第十二次会议通过）</w:t>
      </w:r>
      <w:bookmarkEnd w:id="2"/>
    </w:p>
    <w:p>
      <w:pPr>
        <w:spacing w:line="240" w:lineRule="auto"/>
        <w:ind w:firstLine="0"/>
        <w:jc w:val="both"/>
        <w:rPr>
          <w:rFonts w:hint="eastAsia" w:ascii="宋体" w:hAnsi="宋体" w:eastAsia="宋体" w:cs="宋体"/>
        </w:rPr>
      </w:pPr>
    </w:p>
    <w:p>
      <w:pPr>
        <w:spacing w:line="240" w:lineRule="auto"/>
        <w:ind w:firstLine="640"/>
        <w:jc w:val="both"/>
      </w:pPr>
      <w:r>
        <w:rPr>
          <w:rFonts w:ascii="仿宋_GB2312" w:hAnsi="仿宋_GB2312" w:eastAsia="仿宋_GB2312" w:cs="仿宋_GB2312"/>
          <w:sz w:val="32"/>
        </w:rPr>
        <w:t>为了维护社会稳定，保护人民利益，保障改革开放和社会主义现代化建设的顺利进行，必须取缔邪教组织、防范和惩治邪教活动。根据宪法和有关法律，特作如下决定：</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一</w:t>
      </w:r>
      <w:r>
        <w:rPr>
          <w:rFonts w:hint="eastAsia" w:ascii="仿宋_GB2312" w:hAnsi="仿宋_GB2312" w:cs="仿宋_GB2312"/>
          <w:sz w:val="32"/>
          <w:lang w:eastAsia="zh-CN"/>
        </w:rPr>
        <w:t>、</w:t>
      </w:r>
      <w:r>
        <w:rPr>
          <w:rFonts w:ascii="仿宋_GB2312" w:hAnsi="仿宋_GB2312" w:eastAsia="仿宋_GB2312" w:cs="仿宋_GB2312"/>
          <w:sz w:val="32"/>
        </w:rPr>
        <w:t>坚决依法取缔邪教组织，严厉惩治邪教组织的各种犯罪活动。邪教组织冒用宗教、气功或者其他名义，采用各种手段扰乱社会秩序，危害人民群众生命财产安全和经济发展，必须依法取缔，坚决惩治。人民法院、人民检察院和公安、国家安全、司法行政机关要各司其职，共同做好这项工作。对组织和利用邪教组织破坏国家法律、行政法规实施，聚众闹事，扰乱社会秩序，以迷信邪说蒙骗他人，致人死亡，或者奸淫妇女、诈骗财物等犯罪活动，依法予以严惩。</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二</w:t>
      </w:r>
      <w:r>
        <w:rPr>
          <w:rFonts w:hint="eastAsia" w:ascii="仿宋_GB2312" w:hAnsi="仿宋_GB2312" w:cs="仿宋_GB2312"/>
          <w:sz w:val="32"/>
          <w:lang w:eastAsia="zh-CN"/>
        </w:rPr>
        <w:t>、</w:t>
      </w:r>
      <w:r>
        <w:rPr>
          <w:rFonts w:ascii="仿宋_GB2312" w:hAnsi="仿宋_GB2312" w:eastAsia="仿宋_GB2312" w:cs="仿宋_GB2312"/>
          <w:sz w:val="32"/>
        </w:rPr>
        <w:t>坚持教育与惩罚相结合，团结、教育绝大多数被蒙骗的群众，依法严惩极少数犯罪分子。在依法处理邪教组织的工作中，要把不明真相参与邪教活动的人同组织和利用邪教组织进行非法活动、蓄意破坏社会稳定的犯罪分子区别开来。对受蒙骗的群众不予追究。对构成犯罪的组织者、策划者、指挥者和骨干分子，坚决依法追究刑事责任；对于自首或者有立功表现的，可以依法从轻、减轻或者免除处罚。</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三</w:t>
      </w:r>
      <w:r>
        <w:rPr>
          <w:rFonts w:hint="eastAsia" w:ascii="仿宋_GB2312" w:hAnsi="仿宋_GB2312" w:cs="仿宋_GB2312"/>
          <w:sz w:val="32"/>
          <w:lang w:eastAsia="zh-CN"/>
        </w:rPr>
        <w:t>、</w:t>
      </w:r>
      <w:r>
        <w:rPr>
          <w:rFonts w:ascii="仿宋_GB2312" w:hAnsi="仿宋_GB2312" w:eastAsia="仿宋_GB2312" w:cs="仿宋_GB2312"/>
          <w:sz w:val="32"/>
        </w:rPr>
        <w:t>在全体公民中深入持久地开展宪法和法律的宣传教育，普及科学文化知识。依法取缔邪教组织，惩治邪教活动，有利于保护正常的宗教活动和公民的宗教信仰自由。要使广大人民群众充分认识邪教组织严重危害人类、危害社会的实质，自觉反对和抵制邪教组织的影响，进一步增强法制观念，遵守国家法律。</w:t>
      </w:r>
    </w:p>
    <w:p>
      <w:pPr>
        <w:spacing w:line="240" w:lineRule="auto"/>
        <w:ind w:firstLine="640"/>
        <w:jc w:val="both"/>
      </w:pPr>
      <w:r>
        <w:rPr>
          <w:rFonts w:ascii="仿宋_GB2312" w:hAnsi="仿宋_GB2312" w:eastAsia="仿宋_GB2312" w:cs="仿宋_GB2312"/>
          <w:sz w:val="32"/>
        </w:rPr>
        <w:t>四</w:t>
      </w:r>
      <w:r>
        <w:rPr>
          <w:rFonts w:hint="eastAsia" w:ascii="仿宋_GB2312" w:hAnsi="仿宋_GB2312" w:cs="仿宋_GB2312"/>
          <w:sz w:val="32"/>
          <w:lang w:eastAsia="zh-CN"/>
        </w:rPr>
        <w:t>、</w:t>
      </w:r>
      <w:r>
        <w:rPr>
          <w:rFonts w:ascii="仿宋_GB2312" w:hAnsi="仿宋_GB2312" w:eastAsia="仿宋_GB2312" w:cs="仿宋_GB2312"/>
          <w:sz w:val="32"/>
        </w:rPr>
        <w:t>防范和惩治邪教活动，要动员和组织全社会的力量，进行综合治理。各级人民政府和司法机关应当认真落实责任制，把严防邪教组织的滋生和蔓延，防范和惩治邪教活动作为一项重要任务长期坚持下去，维护社会稳定。</w:t>
      </w:r>
    </w:p>
    <w:sectPr>
      <w:footerReference r:id="rId3" w:type="default"/>
      <w:footerReference r:id="rId4" w:type="even"/>
      <w:pgSz w:w="11906" w:h="16838"/>
      <w:pgMar w:top="2098" w:right="1474" w:bottom="1985" w:left="1588" w:header="851" w:footer="397"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E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140" w:firstLineChars="50"/>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737B6C8F"/>
  </w:rsids>
  <m:mathPr>
    <m:mathFont m:val="Cambria Math"/>
    <m:brkBin m:val="before"/>
    <m:brkBinSub m:val="--"/>
    <m:smallFrac m:val="0"/>
    <m:dispDef/>
    <m:lMargin m:val="0"/>
    <m:rMargin m:val="0"/>
    <m:defJc m:val="centerGroup"/>
    <m:wrapIndent m:val="1440"/>
    <m:intLim m:val="subSup"/>
    <m:naryLim m:val="undOvr"/>
    <m:wrapRight m:val="1"/>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semiHidden/>
    <w:unhideWhenUsed/>
    <w:qFormat/>
    <w:uiPriority w:val="99"/>
    <w:rPr>
      <w:color w:val="954F72"/>
      <w:u w:val="single"/>
    </w:rPr>
  </w:style>
  <w:style w:type="character" w:styleId="7">
    <w:name w:val="Hyperlink"/>
    <w:uiPriority w:val="99"/>
    <w:rPr>
      <w:rFonts w:hint="default" w:ascii="ˎ̥" w:hAnsi="ˎ̥"/>
      <w:color w:val="0404B3"/>
      <w:sz w:val="18"/>
      <w:szCs w:val="18"/>
      <w:u w:val="none"/>
    </w:rPr>
  </w:style>
  <w:style w:type="character" w:customStyle="1" w:styleId="8">
    <w:name w:val="页眉 字符"/>
    <w:link w:val="3"/>
    <w:qFormat/>
    <w:uiPriority w:val="99"/>
    <w:rPr>
      <w:sz w:val="18"/>
      <w:szCs w:val="18"/>
    </w:rPr>
  </w:style>
  <w:style w:type="character" w:customStyle="1" w:styleId="9">
    <w:name w:val="页脚 字符"/>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8310C3-B722-4579-B2B8-B4636D6515FD}">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15</TotalTime>
  <ScaleCrop>false</ScaleCrop>
  <LinksUpToDate>false</LinksUpToDate>
  <CharactersWithSpaces>54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PC122</cp:lastModifiedBy>
  <dcterms:modified xsi:type="dcterms:W3CDTF">2021-01-29T01:35:23Z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